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A6E" w:rsidRDefault="00C83A6E">
      <w:pPr>
        <w:pStyle w:val="Heading3"/>
        <w:jc w:val="left"/>
        <w:rPr>
          <w:b w:val="0"/>
          <w:sz w:val="16"/>
        </w:rPr>
      </w:pPr>
    </w:p>
    <w:p w:rsidR="00C83A6E" w:rsidRDefault="00C83A6E">
      <w:pPr>
        <w:pStyle w:val="Heading3"/>
      </w:pPr>
      <w:r>
        <w:t>ΥΠΕΥΘΥΝΗ ΔΗΛΩΣΗ</w:t>
      </w:r>
    </w:p>
    <w:p w:rsidR="00C83A6E" w:rsidRDefault="00C83A6E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Header"/>
        <w:tabs>
          <w:tab w:val="clear" w:pos="4153"/>
          <w:tab w:val="clear" w:pos="8306"/>
        </w:tabs>
      </w:pPr>
    </w:p>
    <w:p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pStyle w:val="BodyText"/>
        <w:jc w:val="left"/>
        <w:rPr>
          <w:sz w:val="22"/>
        </w:rPr>
      </w:pP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240FA0" w:rsidRDefault="00434E60" w:rsidP="00B14191">
            <w:pPr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 w:rsidRPr="00240FA0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ΜΟΝΑΔΑ ΕΡΕΥΝΩΝ ΑΓΟΡΑΣ ΚΑΙ ΕΠΙΧΕΙΡΗΜΑΤΙΚΟΤΗΤΑΣ  ΠΑΝ. ΚΡΗΤΗΣ</w:t>
            </w: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240FA0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Default="00C83A6E">
      <w:pPr>
        <w:rPr>
          <w:rFonts w:ascii="Arial" w:hAnsi="Arial"/>
          <w:b/>
          <w:sz w:val="28"/>
        </w:rPr>
      </w:pPr>
    </w:p>
    <w:p w:rsidR="00C83A6E" w:rsidRDefault="00C83A6E">
      <w:pPr>
        <w:rPr>
          <w:sz w:val="16"/>
        </w:rPr>
      </w:pPr>
    </w:p>
    <w:p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 w:rsidTr="00E04269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B14191" w:rsidTr="00E04269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83A6E" w:rsidRPr="00434E60" w:rsidRDefault="00C83A6E">
            <w:pPr>
              <w:spacing w:before="60"/>
              <w:ind w:right="125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434E60" w:rsidRPr="00B14191" w:rsidTr="00E0426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34E60" w:rsidRPr="001B06BC" w:rsidRDefault="001B06BC" w:rsidP="00E04269">
            <w:pPr>
              <w:pStyle w:val="ListParagraph"/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Α</w:t>
            </w:r>
            <w:r w:rsidR="00434E60" w:rsidRPr="00E0426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ναλαμβάνω πλήρως την </w:t>
            </w:r>
            <w:r w:rsidR="00240FA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ηθική, νομική και όποια άλλη ευθύνη επάγεται από την </w:t>
            </w:r>
            <w:r w:rsidR="00434E60" w:rsidRPr="00E04269">
              <w:rPr>
                <w:rFonts w:ascii="Arial" w:hAnsi="Arial" w:cs="Arial"/>
                <w:sz w:val="20"/>
                <w:szCs w:val="20"/>
                <w:highlight w:val="yellow"/>
              </w:rPr>
              <w:t>έρευνα πεδίου με τίτλο «……»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, καλουμένη στο εξής ως Έρευνα, </w:t>
            </w:r>
            <w:r w:rsidR="00E04269" w:rsidRPr="00434E60">
              <w:rPr>
                <w:rFonts w:ascii="Arial" w:hAnsi="Arial" w:cs="Arial"/>
                <w:sz w:val="20"/>
                <w:szCs w:val="20"/>
                <w:highlight w:val="yellow"/>
              </w:rPr>
              <w:t>που διεξάγεται με τη</w:t>
            </w:r>
            <w:r w:rsidR="00884B13">
              <w:rPr>
                <w:rFonts w:ascii="Arial" w:hAnsi="Arial" w:cs="Arial"/>
                <w:sz w:val="20"/>
                <w:szCs w:val="20"/>
                <w:highlight w:val="yellow"/>
              </w:rPr>
              <w:t>ν υλικοτεχνική</w:t>
            </w:r>
            <w:r w:rsidR="00E04269" w:rsidRPr="00434E6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συνδρομή της Μονάδας Ερευνών Αγοράς και Επιχειρηματικότητας του Πανεπιστημίου Κρήτης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(</w:t>
            </w:r>
            <w:r w:rsidRPr="00434E60">
              <w:rPr>
                <w:rFonts w:ascii="Arial" w:hAnsi="Arial" w:cs="Arial"/>
                <w:sz w:val="20"/>
                <w:szCs w:val="20"/>
                <w:highlight w:val="yellow"/>
              </w:rPr>
              <w:t>ΜΕΑΕ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-ΠΚ</w:t>
            </w:r>
            <w:r w:rsidRPr="00434E60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  <w:r w:rsidR="00884B13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1B06BC" w:rsidRPr="001B06BC" w:rsidRDefault="001B06BC" w:rsidP="00E04269">
            <w:pPr>
              <w:pStyle w:val="ListParagraph"/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Η</w:t>
            </w:r>
            <w:r w:rsidRPr="00E0426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ΜΕΑΕ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-ΠΚ</w:t>
            </w:r>
            <w:r w:rsidRPr="00E0426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δε φέρει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ουδεμία ευθύνη</w:t>
            </w:r>
            <w:r w:rsidRPr="00E0426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για το περιεχόμενο της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Έ</w:t>
            </w:r>
            <w:r w:rsidRPr="00E04269">
              <w:rPr>
                <w:rFonts w:ascii="Arial" w:hAnsi="Arial" w:cs="Arial"/>
                <w:sz w:val="20"/>
                <w:szCs w:val="20"/>
                <w:highlight w:val="yellow"/>
              </w:rPr>
              <w:t>ρευνας, τον τρόπο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434E6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διεξαγωγής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ή</w:t>
            </w:r>
            <w:r w:rsidRPr="00434E6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τη διαχείριση των παραγόμενων δεδομένων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(</w:t>
            </w:r>
            <w:r w:rsidRPr="00434E60">
              <w:rPr>
                <w:rFonts w:ascii="Arial" w:hAnsi="Arial" w:cs="Arial"/>
                <w:sz w:val="20"/>
                <w:szCs w:val="20"/>
                <w:highlight w:val="yellow"/>
              </w:rPr>
              <w:t>αποθήκευση, προστασία, διάθεση και ανάλυσή τους).</w:t>
            </w:r>
          </w:p>
          <w:p w:rsidR="001B06BC" w:rsidRPr="001B06BC" w:rsidRDefault="001B06BC" w:rsidP="001B06BC">
            <w:pPr>
              <w:pStyle w:val="ListParagraph"/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Η έρευνα έχει την έγκριση της Επιτροπής Ηθικής και Δεοντολογίας της Έρευνας του Πανεπιστημίου Κρήτης (ΕΗΔΕ -ΠΚ). Για οποιοδήποτε θέμα ηθικής ή νομικής τάξης προκύψει από τη μεθοδολογία της </w:t>
            </w:r>
            <w:r w:rsidR="00DE7BBC">
              <w:rPr>
                <w:rFonts w:ascii="Arial" w:hAnsi="Arial" w:cs="Arial"/>
                <w:sz w:val="20"/>
                <w:szCs w:val="20"/>
                <w:highlight w:val="yellow"/>
              </w:rPr>
              <w:t>Έ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ρευνας ή/και τη δημοσιοποίηση των αποτελεσμάτων της </w:t>
            </w:r>
            <w:r w:rsidR="00DE7BBC">
              <w:rPr>
                <w:rFonts w:ascii="Arial" w:hAnsi="Arial" w:cs="Arial"/>
                <w:sz w:val="20"/>
                <w:szCs w:val="20"/>
                <w:highlight w:val="yellow"/>
              </w:rPr>
              <w:t>Έ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ρευνας, θα επιληφθεί η ΕΗΔΕ-ΠΚ.</w:t>
            </w:r>
          </w:p>
          <w:p w:rsidR="001B06BC" w:rsidRPr="001B06BC" w:rsidRDefault="001B06BC" w:rsidP="001B06BC">
            <w:pPr>
              <w:pStyle w:val="ListParagraph"/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Η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Έρευνα δεν επιχορηγείται, δεν αποτελεί μέρος ερευνητικού έργου ή παροχή υπηρεσίας προς τρίτους και γενικά δεν παράγει οικονομικά οφέλη για κανένα από τους εμπλεκόμενους στη διεξαγωγή της.</w:t>
            </w:r>
          </w:p>
          <w:p w:rsidR="001B06BC" w:rsidRPr="001B06BC" w:rsidRDefault="001B06BC" w:rsidP="001B06BC">
            <w:pPr>
              <w:pStyle w:val="ListParagraph"/>
              <w:spacing w:before="60"/>
              <w:ind w:right="125"/>
              <w:jc w:val="right"/>
              <w:rPr>
                <w:rFonts w:ascii="Arial" w:hAnsi="Arial" w:cs="Arial"/>
                <w:sz w:val="20"/>
                <w:szCs w:val="20"/>
                <w:highlight w:val="yellow"/>
                <w:vertAlign w:val="superscript"/>
              </w:rPr>
            </w:pPr>
            <w:r w:rsidRPr="001B06BC">
              <w:rPr>
                <w:rFonts w:ascii="Arial" w:hAnsi="Arial" w:cs="Arial"/>
                <w:sz w:val="20"/>
                <w:szCs w:val="20"/>
                <w:highlight w:val="yellow"/>
                <w:vertAlign w:val="superscript"/>
              </w:rPr>
              <w:t>(4)</w:t>
            </w:r>
          </w:p>
        </w:tc>
      </w:tr>
    </w:tbl>
    <w:p w:rsidR="00C83A6E" w:rsidRDefault="00C83A6E"/>
    <w:p w:rsidR="00C83A6E" w:rsidRPr="00B14191" w:rsidRDefault="00C83A6E">
      <w:pPr>
        <w:pStyle w:val="BodyTextIndent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1B06BC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:rsidR="00C83A6E" w:rsidRPr="00B14191" w:rsidRDefault="00C83A6E">
      <w:pPr>
        <w:pStyle w:val="BodyTextIndent"/>
        <w:ind w:left="0" w:right="484"/>
        <w:jc w:val="right"/>
        <w:rPr>
          <w:sz w:val="16"/>
          <w:szCs w:val="16"/>
        </w:rPr>
      </w:pPr>
    </w:p>
    <w:p w:rsidR="00C83A6E" w:rsidRDefault="00C83A6E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C83A6E" w:rsidRDefault="00C83A6E">
      <w:pPr>
        <w:pStyle w:val="BodyTextIndent"/>
        <w:ind w:left="0"/>
        <w:jc w:val="right"/>
        <w:rPr>
          <w:sz w:val="16"/>
        </w:rPr>
      </w:pPr>
    </w:p>
    <w:p w:rsidR="00C83A6E" w:rsidRDefault="00C83A6E">
      <w:pPr>
        <w:pStyle w:val="BodyTextIndent"/>
        <w:ind w:left="0"/>
        <w:jc w:val="right"/>
        <w:rPr>
          <w:sz w:val="16"/>
        </w:rPr>
      </w:pPr>
    </w:p>
    <w:p w:rsidR="00C83A6E" w:rsidRDefault="00C83A6E">
      <w:pPr>
        <w:pStyle w:val="BodyTextIndent"/>
        <w:ind w:left="0"/>
        <w:jc w:val="right"/>
        <w:rPr>
          <w:sz w:val="16"/>
        </w:rPr>
      </w:pPr>
    </w:p>
    <w:p w:rsidR="00C83A6E" w:rsidRDefault="00C83A6E">
      <w:pPr>
        <w:pStyle w:val="BodyTextIndent"/>
        <w:ind w:left="0"/>
        <w:jc w:val="right"/>
        <w:rPr>
          <w:sz w:val="16"/>
        </w:rPr>
      </w:pPr>
    </w:p>
    <w:p w:rsidR="00C83A6E" w:rsidRDefault="00C83A6E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C83A6E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83A6E" w:rsidRDefault="00C83A6E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83A6E" w:rsidRDefault="00C83A6E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9FE" w:rsidRDefault="00E809FE">
      <w:r>
        <w:separator/>
      </w:r>
    </w:p>
  </w:endnote>
  <w:endnote w:type="continuationSeparator" w:id="0">
    <w:p w:rsidR="00E809FE" w:rsidRDefault="00E8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9FE" w:rsidRDefault="00E809FE">
      <w:r>
        <w:separator/>
      </w:r>
    </w:p>
  </w:footnote>
  <w:footnote w:type="continuationSeparator" w:id="0">
    <w:p w:rsidR="00E809FE" w:rsidRDefault="00E80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6E" w:rsidRDefault="00434E60">
    <w:pPr>
      <w:pStyle w:val="Header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1975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A6E" w:rsidRDefault="00C83A6E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8D6853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9E94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FAE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62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8F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4E9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D46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6C1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D0E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9AE9AC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1DEE4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6A8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E4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EEB0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DE29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123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5435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42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682A88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CE761C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364EB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8E8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0E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14D81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04B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8AAE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50DED9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D63E9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366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7EF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C7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277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FC8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0C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32E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2E9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F01299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B7D4E7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2B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D4B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AC5F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D00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B4E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25D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3E49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84276A"/>
    <w:multiLevelType w:val="hybridMultilevel"/>
    <w:tmpl w:val="80887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476082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DE619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5816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C0B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4A3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4C43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5CF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BA04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0E05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1414F3"/>
    <w:rsid w:val="001B06BC"/>
    <w:rsid w:val="00240FA0"/>
    <w:rsid w:val="00353785"/>
    <w:rsid w:val="00410185"/>
    <w:rsid w:val="00434E60"/>
    <w:rsid w:val="00480671"/>
    <w:rsid w:val="004F78A7"/>
    <w:rsid w:val="005267F6"/>
    <w:rsid w:val="0060134C"/>
    <w:rsid w:val="00884B13"/>
    <w:rsid w:val="008E5666"/>
    <w:rsid w:val="009465CA"/>
    <w:rsid w:val="00A47580"/>
    <w:rsid w:val="00A66437"/>
    <w:rsid w:val="00B14191"/>
    <w:rsid w:val="00C83A6E"/>
    <w:rsid w:val="00DE7BBC"/>
    <w:rsid w:val="00DF3668"/>
    <w:rsid w:val="00E04269"/>
    <w:rsid w:val="00E809FE"/>
    <w:rsid w:val="00EF39F8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."/>
  <w:listSeparator w:val=","/>
  <w14:docId w14:val="7C6305FD"/>
  <w15:chartTrackingRefBased/>
  <w15:docId w15:val="{C21C0442-EC14-49B4-8B2A-B31171C7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semiHidden/>
    <w:pPr>
      <w:ind w:left="-180"/>
    </w:pPr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E04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35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Konstantinos Pigounakis</cp:lastModifiedBy>
  <cp:revision>5</cp:revision>
  <cp:lastPrinted>2017-09-01T14:13:00Z</cp:lastPrinted>
  <dcterms:created xsi:type="dcterms:W3CDTF">2020-10-13T15:28:00Z</dcterms:created>
  <dcterms:modified xsi:type="dcterms:W3CDTF">2020-10-13T19:17:00Z</dcterms:modified>
</cp:coreProperties>
</file>